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>
      <w:pPr>
        <w:ind w:firstLine="851"/>
        <w:jc w:val="right"/>
        <w:rPr>
          <w:rFonts w:hint="default" w:ascii="Times New Roman" w:hAnsi="Times New Roman" w:cs="Times New Roman"/>
          <w:sz w:val="24"/>
          <w:szCs w:val="24"/>
          <w:u w:val="none" w:color="auto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Утверждаю»</w:t>
      </w:r>
    </w:p>
    <w:p>
      <w:pPr>
        <w:ind w:firstLine="851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Начальник отдела образования</w:t>
      </w:r>
    </w:p>
    <w:p>
      <w:pPr>
        <w:ind w:firstLine="851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 А.Ю. Васильева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Положение 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муниципальном этапе Всероссийского конкурса исследовательских краеведческих работ учащихся «Отечество» 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>
      <w:pPr>
        <w:tabs>
          <w:tab w:val="left" w:pos="42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регламентирует порядок и условия проведения муниципального этапа Всероссийского </w:t>
      </w:r>
      <w:r>
        <w:rPr>
          <w:color w:val="000000"/>
          <w:sz w:val="24"/>
          <w:szCs w:val="24"/>
        </w:rPr>
        <w:t xml:space="preserve">конкурса исследовательских краеведческих работ учащихся «Отечество» </w:t>
      </w:r>
      <w:r>
        <w:rPr>
          <w:sz w:val="24"/>
          <w:szCs w:val="24"/>
        </w:rPr>
        <w:t xml:space="preserve"> (далее – Конкурс). </w:t>
      </w:r>
    </w:p>
    <w:p>
      <w:pPr>
        <w:tabs>
          <w:tab w:val="left" w:pos="560"/>
        </w:tabs>
        <w:ind w:left="0" w:leftChars="0" w:firstLine="560" w:firstLineChars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1.2. О</w:t>
      </w:r>
      <w:r>
        <w:rPr>
          <w:rFonts w:eastAsia="Calibri"/>
          <w:sz w:val="24"/>
          <w:szCs w:val="24"/>
        </w:rPr>
        <w:t>рганизацию, проведение и общее руководство муниципальным этапом Конкурса осуществляет оргкомитет (с правами жюри), созданный ЦРТДЮ. Оргкомитет готовит информационный материал и приказ об итогах.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1.3. </w:t>
      </w:r>
      <w:r>
        <w:rPr>
          <w:b/>
          <w:color w:val="000000"/>
          <w:sz w:val="24"/>
          <w:szCs w:val="24"/>
        </w:rPr>
        <w:t>Цель: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воспитание патриотизма и гражданственности обучающихся посредством развития туристско-краеведческой, исследовательской работы. </w:t>
      </w:r>
    </w:p>
    <w:p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>
        <w:rPr>
          <w:b/>
          <w:color w:val="000000"/>
          <w:sz w:val="24"/>
          <w:szCs w:val="24"/>
        </w:rPr>
        <w:t>Задачи: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выявление и поддержка талантливых детей и молодёжи в области краеведения и исследовательской работы;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развитие и активизация учебно-исследовательской деятельности обучающихся в области краеведения;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формирование у обучающихся навыков проектной и творческой деятельности, публичных коммуникаций;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воспитание у школьников бережного отношения к природному и культурному наследию родного края;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обмен опытом работы в рамках туристско-краеведческого движения обучающихся Российской Федерации «Отечество».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.Участники Конкурса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В Конкурсе принимают участие обучающиеся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>
        <w:rPr>
          <w:rFonts w:hint="default"/>
          <w:color w:val="000000"/>
          <w:sz w:val="24"/>
          <w:szCs w:val="24"/>
          <w:lang w:val="ru-RU"/>
        </w:rPr>
        <w:t xml:space="preserve"> возрасте </w:t>
      </w:r>
      <w:r>
        <w:rPr>
          <w:rFonts w:hint="default"/>
          <w:b/>
          <w:bCs/>
          <w:color w:val="000000"/>
          <w:sz w:val="24"/>
          <w:szCs w:val="24"/>
          <w:lang w:val="ru-RU"/>
        </w:rPr>
        <w:t xml:space="preserve">14-18 лет </w:t>
      </w:r>
      <w:r>
        <w:rPr>
          <w:rFonts w:hint="default"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</w:rPr>
        <w:t xml:space="preserve">бразовательных организаций. 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>
        <w:rPr>
          <w:b/>
          <w:color w:val="000000"/>
          <w:sz w:val="24"/>
          <w:szCs w:val="24"/>
        </w:rPr>
        <w:t>Допускается только индивидуальное участие.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>
      <w:pPr>
        <w:tabs>
          <w:tab w:val="left" w:pos="42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Сроки и порядок проведения Конкурса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Конкурс проводится в два этапа: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этап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>муниципальный: с</w:t>
      </w:r>
      <w:r>
        <w:rPr>
          <w:rFonts w:hint="default"/>
          <w:b/>
          <w:color w:val="000000"/>
          <w:sz w:val="24"/>
          <w:szCs w:val="24"/>
          <w:lang w:val="ru-RU"/>
        </w:rPr>
        <w:t xml:space="preserve"> 27. 09. </w:t>
      </w:r>
      <w:r>
        <w:rPr>
          <w:b/>
          <w:color w:val="000000"/>
          <w:sz w:val="24"/>
          <w:szCs w:val="24"/>
        </w:rPr>
        <w:t>по</w:t>
      </w:r>
      <w:r>
        <w:rPr>
          <w:rFonts w:hint="default"/>
          <w:b/>
          <w:color w:val="000000"/>
          <w:sz w:val="24"/>
          <w:szCs w:val="24"/>
          <w:lang w:val="ru-RU"/>
        </w:rPr>
        <w:t>22.11.2021</w:t>
      </w:r>
      <w:r>
        <w:rPr>
          <w:b/>
          <w:color w:val="000000"/>
          <w:sz w:val="24"/>
          <w:szCs w:val="24"/>
        </w:rPr>
        <w:t xml:space="preserve"> года.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этап – региональный</w:t>
      </w:r>
      <w:r>
        <w:rPr>
          <w:color w:val="000000"/>
          <w:sz w:val="24"/>
          <w:szCs w:val="24"/>
        </w:rPr>
        <w:t>, состоит из двух туров: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1-ый тур (заочный, отборочный</w:t>
      </w:r>
      <w:r>
        <w:rPr>
          <w:rFonts w:hint="default"/>
          <w:i/>
          <w:color w:val="000000"/>
          <w:sz w:val="24"/>
          <w:szCs w:val="24"/>
          <w:lang w:val="ru-RU"/>
        </w:rPr>
        <w:t>)</w:t>
      </w:r>
      <w:r>
        <w:rPr>
          <w:rFonts w:hint="default"/>
          <w:b/>
          <w:bCs/>
          <w:i w:val="0"/>
          <w:iCs/>
          <w:color w:val="000000"/>
          <w:sz w:val="24"/>
          <w:szCs w:val="24"/>
          <w:lang w:val="ru-RU"/>
        </w:rPr>
        <w:t xml:space="preserve"> 29 ноября -3 декабря</w:t>
      </w:r>
      <w:r>
        <w:rPr>
          <w:b/>
          <w:i/>
          <w:color w:val="000000"/>
          <w:sz w:val="24"/>
          <w:szCs w:val="24"/>
        </w:rPr>
        <w:t xml:space="preserve"> 20</w:t>
      </w:r>
      <w:r>
        <w:rPr>
          <w:rFonts w:hint="default"/>
          <w:b/>
          <w:i/>
          <w:color w:val="000000"/>
          <w:sz w:val="24"/>
          <w:szCs w:val="24"/>
          <w:lang w:val="ru-RU"/>
        </w:rPr>
        <w:t xml:space="preserve">21 </w:t>
      </w:r>
      <w:r>
        <w:rPr>
          <w:b/>
          <w:i/>
          <w:color w:val="000000"/>
          <w:sz w:val="24"/>
          <w:szCs w:val="24"/>
        </w:rPr>
        <w:t>года.,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2-ой тур (финал</w:t>
      </w:r>
      <w:r>
        <w:rPr>
          <w:rFonts w:hint="default"/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пройдет</w:t>
      </w:r>
      <w:r>
        <w:rPr>
          <w:rFonts w:hint="default"/>
          <w:i/>
          <w:color w:val="000000"/>
          <w:sz w:val="24"/>
          <w:szCs w:val="24"/>
          <w:lang w:val="ru-RU"/>
        </w:rPr>
        <w:t xml:space="preserve"> в режиме онлайн на платформе </w:t>
      </w:r>
      <w:r>
        <w:rPr>
          <w:rFonts w:hint="default"/>
          <w:i/>
          <w:color w:val="000000"/>
          <w:sz w:val="24"/>
          <w:szCs w:val="24"/>
          <w:lang w:val="en-US"/>
        </w:rPr>
        <w:t xml:space="preserve"> ZOOM</w:t>
      </w:r>
      <w:r>
        <w:rPr>
          <w:i/>
          <w:color w:val="000000"/>
          <w:sz w:val="24"/>
          <w:szCs w:val="24"/>
        </w:rPr>
        <w:t xml:space="preserve">) состоится </w:t>
      </w:r>
      <w:r>
        <w:rPr>
          <w:rFonts w:hint="default"/>
          <w:b/>
          <w:bCs/>
          <w:i/>
          <w:color w:val="000000"/>
          <w:sz w:val="24"/>
          <w:szCs w:val="24"/>
          <w:lang w:val="ru-RU"/>
        </w:rPr>
        <w:t>13-</w:t>
      </w:r>
      <w:r>
        <w:rPr>
          <w:b/>
          <w:bCs/>
          <w:i/>
          <w:color w:val="000000"/>
          <w:sz w:val="24"/>
          <w:szCs w:val="24"/>
        </w:rPr>
        <w:t>1</w:t>
      </w:r>
      <w:r>
        <w:rPr>
          <w:rFonts w:hint="default"/>
          <w:b/>
          <w:bCs/>
          <w:i/>
          <w:color w:val="000000"/>
          <w:sz w:val="24"/>
          <w:szCs w:val="24"/>
          <w:lang w:val="ru-RU"/>
        </w:rPr>
        <w:t>7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декабря 20</w:t>
      </w:r>
      <w:r>
        <w:rPr>
          <w:rFonts w:hint="default"/>
          <w:b/>
          <w:i/>
          <w:color w:val="000000"/>
          <w:sz w:val="24"/>
          <w:szCs w:val="24"/>
          <w:lang w:val="en-US"/>
        </w:rPr>
        <w:t>2</w:t>
      </w:r>
      <w:r>
        <w:rPr>
          <w:rFonts w:hint="default"/>
          <w:b/>
          <w:i/>
          <w:color w:val="000000"/>
          <w:sz w:val="24"/>
          <w:szCs w:val="24"/>
          <w:lang w:val="ru-RU"/>
        </w:rPr>
        <w:t>1</w:t>
      </w:r>
      <w:r>
        <w:rPr>
          <w:b/>
          <w:i/>
          <w:color w:val="000000"/>
          <w:sz w:val="24"/>
          <w:szCs w:val="24"/>
        </w:rPr>
        <w:t xml:space="preserve"> год</w:t>
      </w:r>
      <w:r>
        <w:rPr>
          <w:b/>
          <w:i/>
          <w:color w:val="000000"/>
          <w:sz w:val="24"/>
          <w:szCs w:val="24"/>
          <w:lang w:val="ru-RU"/>
        </w:rPr>
        <w:t>а</w:t>
      </w:r>
      <w:r>
        <w:rPr>
          <w:rFonts w:hint="default"/>
          <w:b/>
          <w:i/>
          <w:color w:val="000000"/>
          <w:sz w:val="24"/>
          <w:szCs w:val="24"/>
          <w:lang w:val="ru-RU"/>
        </w:rPr>
        <w:t>.</w:t>
      </w:r>
      <w:r>
        <w:rPr>
          <w:b/>
          <w:i/>
          <w:color w:val="000000"/>
          <w:sz w:val="24"/>
          <w:szCs w:val="24"/>
        </w:rPr>
        <w:t xml:space="preserve"> </w:t>
      </w:r>
    </w:p>
    <w:p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 Конкурс проводится по следующим номинациям туристско-краеведческого движения обучающихся «Отечество»: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«Археология»</w:t>
      </w:r>
      <w:r>
        <w:rPr>
          <w:color w:val="000000"/>
          <w:sz w:val="24"/>
          <w:szCs w:val="24"/>
        </w:rPr>
        <w:t xml:space="preserve"> (изучение исторического прошлого края по вещественным источникам; изучение непосредственных остатков человеческой деятельности);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«Военная история», «Поиск»</w:t>
      </w:r>
      <w:r>
        <w:rPr>
          <w:color w:val="000000"/>
          <w:sz w:val="24"/>
          <w:szCs w:val="24"/>
        </w:rPr>
        <w:t xml:space="preserve"> (изучение военной истории на местном краеведческом материале, увековечение памяти земляков);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«Культурное наследие» </w:t>
      </w:r>
      <w:r>
        <w:rPr>
          <w:color w:val="000000"/>
          <w:sz w:val="24"/>
          <w:szCs w:val="24"/>
        </w:rPr>
        <w:t xml:space="preserve">(изучение культурного наследия и творчества жителей родного края, фиксация событий культурной жизни родного края); 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«Природное наследие. Юные геологи»</w:t>
      </w:r>
      <w:r>
        <w:rPr>
          <w:color w:val="000000"/>
          <w:sz w:val="24"/>
          <w:szCs w:val="24"/>
        </w:rPr>
        <w:t xml:space="preserve"> (изучение и охрана природного наследия, исследовательская деятельность обучающихся в области геологии;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«Экологическое краеведение»</w:t>
      </w:r>
      <w:r>
        <w:rPr>
          <w:color w:val="000000"/>
          <w:sz w:val="24"/>
          <w:szCs w:val="24"/>
        </w:rPr>
        <w:t xml:space="preserve"> (изучение природной среды во всём её многообразии);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«Родословие»</w:t>
      </w:r>
      <w:r>
        <w:rPr>
          <w:color w:val="000000"/>
          <w:sz w:val="24"/>
          <w:szCs w:val="24"/>
        </w:rPr>
        <w:t xml:space="preserve"> (изучение родословных, семейных традиций и обрядов); 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«Школьные музеи», «История детского движения», «История образования» </w:t>
      </w:r>
      <w:r>
        <w:rPr>
          <w:color w:val="000000"/>
          <w:sz w:val="24"/>
          <w:szCs w:val="24"/>
        </w:rPr>
        <w:t>(изучение истории отдельных образовательных организаций, школьных музеев, истории детских и молодёжных организаций);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«Земляки», «Исторический некрополь»</w:t>
      </w:r>
      <w:r>
        <w:rPr>
          <w:color w:val="000000"/>
          <w:sz w:val="24"/>
          <w:szCs w:val="24"/>
        </w:rPr>
        <w:t xml:space="preserve"> (изучение жизни и деятельности земляков, внёсших значимый вклад в развитие культуры, искусства, науки, образования, детско-юношеского туризма и краеведения, спорта и т.д.);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«Летопись родного края» </w:t>
      </w:r>
      <w:r>
        <w:rPr>
          <w:color w:val="000000"/>
          <w:sz w:val="24"/>
          <w:szCs w:val="24"/>
        </w:rPr>
        <w:t xml:space="preserve">(изучение истории и природы родного края с древнейших времён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края); 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«Литературное краеведение», «Топонимика»</w:t>
      </w:r>
      <w:r>
        <w:rPr>
          <w:color w:val="000000"/>
          <w:sz w:val="24"/>
          <w:szCs w:val="24"/>
        </w:rPr>
        <w:t xml:space="preserve"> (изучение литературного наследия родного края, изучение происхождения географических названий в родном крае); 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«Этнография» </w:t>
      </w:r>
      <w:r>
        <w:rPr>
          <w:color w:val="000000"/>
          <w:sz w:val="24"/>
          <w:szCs w:val="24"/>
        </w:rPr>
        <w:t>(изучение материальной и духовной культуры народов, их семейного и общественного быта, хозяйственных знаний и этнических процессов).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«Великая Отечественная война»</w:t>
      </w:r>
      <w:r>
        <w:rPr>
          <w:color w:val="000000"/>
          <w:sz w:val="24"/>
          <w:szCs w:val="24"/>
        </w:rPr>
        <w:t xml:space="preserve"> (изучение событий 1941-1945 годов; хода боевых действий, мест боёв; боевого пути соединений, сформированных в родном крае, освобождавших край; подвигов участников событий).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Конкурсные материалы, поступившие на муниципальный этап Конкурса, оцениваются в соответствии с требованиями </w:t>
      </w:r>
      <w:r>
        <w:rPr>
          <w:i/>
          <w:color w:val="000000"/>
          <w:sz w:val="24"/>
          <w:szCs w:val="24"/>
        </w:rPr>
        <w:t>(Приложение №2)</w:t>
      </w:r>
      <w:r>
        <w:rPr>
          <w:color w:val="000000"/>
          <w:sz w:val="24"/>
          <w:szCs w:val="24"/>
        </w:rPr>
        <w:t xml:space="preserve"> и критериями оценки </w:t>
      </w:r>
      <w:r>
        <w:rPr>
          <w:i/>
          <w:color w:val="000000"/>
          <w:sz w:val="24"/>
          <w:szCs w:val="24"/>
        </w:rPr>
        <w:t>(Приложение №3).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color w:val="000000"/>
          <w:sz w:val="24"/>
          <w:szCs w:val="24"/>
          <w:u w:val="single"/>
        </w:rPr>
        <w:t>Материалы, представленные на Конкурс, должны включать</w:t>
      </w:r>
      <w:r>
        <w:rPr>
          <w:color w:val="000000"/>
          <w:sz w:val="24"/>
          <w:szCs w:val="24"/>
        </w:rPr>
        <w:t>: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заявку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Приложение №1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  <w:u w:val="single"/>
        </w:rPr>
        <w:t>на каждую работу отдельно</w:t>
      </w:r>
      <w:r>
        <w:rPr>
          <w:color w:val="000000"/>
          <w:sz w:val="24"/>
          <w:szCs w:val="24"/>
        </w:rPr>
        <w:t>,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>конкурсную работу, оформленную в соответствии с требованиями (</w:t>
      </w:r>
      <w:r>
        <w:rPr>
          <w:i/>
          <w:color w:val="000000"/>
          <w:sz w:val="24"/>
          <w:szCs w:val="24"/>
        </w:rPr>
        <w:t>Приложение №2</w:t>
      </w:r>
      <w:r>
        <w:rPr>
          <w:b/>
          <w:color w:val="000000"/>
          <w:sz w:val="24"/>
          <w:szCs w:val="24"/>
        </w:rPr>
        <w:t>).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3.</w:t>
      </w:r>
      <w:r>
        <w:rPr>
          <w:rFonts w:hint="default"/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Для участия в муниципальном этапе </w:t>
      </w:r>
      <w:r>
        <w:rPr>
          <w:sz w:val="24"/>
          <w:szCs w:val="24"/>
        </w:rPr>
        <w:t xml:space="preserve">Всероссийского </w:t>
      </w:r>
      <w:r>
        <w:rPr>
          <w:color w:val="000000"/>
          <w:sz w:val="24"/>
          <w:szCs w:val="24"/>
        </w:rPr>
        <w:t xml:space="preserve">конкурса исследовательских краеведческих работ учащихся «Отечество» </w:t>
      </w:r>
      <w:r>
        <w:rPr>
          <w:sz w:val="24"/>
          <w:szCs w:val="24"/>
        </w:rPr>
        <w:t xml:space="preserve">конкурсные материалы направляются в ЦРТДЮ (г.Грязи, ул.Кр. площадь, д.35, здание ж/д клуба) </w:t>
      </w:r>
      <w:r>
        <w:rPr>
          <w:b/>
          <w:sz w:val="24"/>
          <w:szCs w:val="24"/>
          <w:u w:val="single"/>
        </w:rPr>
        <w:t xml:space="preserve">до </w:t>
      </w:r>
      <w:r>
        <w:rPr>
          <w:rFonts w:hint="default"/>
          <w:b/>
          <w:sz w:val="24"/>
          <w:szCs w:val="24"/>
          <w:u w:val="single"/>
          <w:lang w:val="ru-RU"/>
        </w:rPr>
        <w:t>22 ноября</w:t>
      </w:r>
      <w:r>
        <w:rPr>
          <w:b/>
          <w:sz w:val="24"/>
          <w:szCs w:val="24"/>
          <w:u w:val="single"/>
        </w:rPr>
        <w:t xml:space="preserve"> 20</w:t>
      </w:r>
      <w:r>
        <w:rPr>
          <w:rFonts w:hint="default"/>
          <w:b/>
          <w:sz w:val="24"/>
          <w:szCs w:val="24"/>
          <w:u w:val="single"/>
          <w:lang w:val="ru-RU"/>
        </w:rPr>
        <w:t xml:space="preserve">20 </w:t>
      </w:r>
      <w:r>
        <w:rPr>
          <w:b/>
          <w:sz w:val="24"/>
          <w:szCs w:val="24"/>
          <w:u w:val="single"/>
        </w:rPr>
        <w:t xml:space="preserve">года. 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. По итогам заочного тура регионального этапа Конкурса в адрес муниципальных органов управления образованием высылается письмо с указанием списка обучающихся очного тура и ссылка для подключения к видеоконференции. 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Регламент выступлений участников в очном туре – 5-7 минут.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 Подведение итогов</w:t>
      </w:r>
    </w:p>
    <w:p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По </w:t>
      </w:r>
      <w:r>
        <w:rPr>
          <w:sz w:val="24"/>
          <w:szCs w:val="24"/>
        </w:rPr>
        <w:t>итогам муниципального этапа Конкурса победители и призёры в каждой номинации награждаются Почётными грамотами отдела образования Грязинского муниципального района.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Лучшие работы будут направлены для участия в региональном этапе Конкурса.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Победители и призёры областного этапа Конкурса награждаются грамотами ГБУ ДО «Спортивно-туристский Центр Липецкой области». По решению жюри отдельные участники могут награждаться поощрительными грамотами и призами.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20" w:num="1"/>
          <w:docGrid w:linePitch="360" w:charSpace="0"/>
        </w:sectPr>
      </w:pPr>
    </w:p>
    <w:p>
      <w:pPr>
        <w:pStyle w:val="2"/>
        <w:numPr>
          <w:ilvl w:val="0"/>
          <w:numId w:val="0"/>
        </w:numPr>
        <w:ind w:right="70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>
      <w:pPr>
        <w:pStyle w:val="2"/>
        <w:numPr>
          <w:ilvl w:val="0"/>
          <w:numId w:val="0"/>
        </w:numPr>
        <w:ind w:right="70"/>
        <w:rPr>
          <w:sz w:val="24"/>
          <w:szCs w:val="24"/>
        </w:rPr>
      </w:pPr>
      <w:r>
        <w:rPr>
          <w:sz w:val="24"/>
          <w:szCs w:val="24"/>
        </w:rPr>
        <w:t xml:space="preserve">на участие в региональном этапе Всероссийского конкурсе исследовательских краеведческих работ учащихся «Отечество» </w:t>
      </w:r>
    </w:p>
    <w:p/>
    <w:p/>
    <w:p>
      <w:pPr>
        <w:pStyle w:val="5"/>
        <w:ind w:firstLine="709"/>
        <w:jc w:val="both"/>
        <w:rPr>
          <w:rFonts w:ascii="Times New Roman" w:hAnsi="Times New Roman" w:eastAsia="MS Mincho"/>
          <w:sz w:val="20"/>
          <w:szCs w:val="20"/>
        </w:rPr>
      </w:pPr>
    </w:p>
    <w:p>
      <w:pPr>
        <w:pStyle w:val="5"/>
        <w:ind w:firstLine="708"/>
        <w:jc w:val="both"/>
        <w:rPr>
          <w:rFonts w:ascii="Times New Roman" w:hAnsi="Times New Roman" w:eastAsia="Times New Roman"/>
          <w:spacing w:val="-8"/>
          <w:sz w:val="24"/>
          <w:szCs w:val="24"/>
        </w:rPr>
      </w:pPr>
    </w:p>
    <w:p/>
    <w:tbl>
      <w:tblPr>
        <w:tblStyle w:val="4"/>
        <w:tblpPr w:leftFromText="180" w:rightFromText="180" w:vertAnchor="page" w:horzAnchor="page" w:tblpX="1091" w:tblpY="3985"/>
        <w:tblOverlap w:val="never"/>
        <w:tblW w:w="14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27"/>
        <w:gridCol w:w="1268"/>
        <w:gridCol w:w="1415"/>
        <w:gridCol w:w="3297"/>
        <w:gridCol w:w="1210"/>
        <w:gridCol w:w="1528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96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MS Minch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>№</w:t>
            </w:r>
          </w:p>
          <w:p>
            <w:pPr>
              <w:pStyle w:val="5"/>
              <w:jc w:val="center"/>
              <w:rPr>
                <w:rFonts w:ascii="Times New Roman" w:hAnsi="Times New Roman" w:eastAsia="MS Mincho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>п/п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MS Mincho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>Фамилия, имя, отчество</w:t>
            </w:r>
            <w:r>
              <w:rPr>
                <w:rFonts w:hint="default" w:ascii="Times New Roman" w:hAnsi="Times New Roman" w:eastAsia="MS Mincho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MS Mincho"/>
                <w:lang w:val="ru-RU" w:eastAsia="ru-RU"/>
              </w:rPr>
              <w:t>участника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MS Mincho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>Дата рождения участника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MS Mincho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>Индекс, дом. адрес, телефон участника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right="-101"/>
              <w:jc w:val="center"/>
              <w:rPr>
                <w:rFonts w:ascii="Times New Roman" w:hAnsi="Times New Roman" w:eastAsia="MS Mincho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>Класс, учреждение образования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5"/>
              </w:tabs>
              <w:ind w:left="-175" w:right="-202" w:hanging="88"/>
              <w:jc w:val="center"/>
              <w:rPr>
                <w:rFonts w:ascii="Times New Roman" w:hAnsi="Times New Roman" w:eastAsia="MS Mincho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Номинация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right="-108"/>
              <w:jc w:val="center"/>
              <w:rPr>
                <w:rFonts w:ascii="Times New Roman" w:hAnsi="Times New Roman" w:eastAsia="MS Minch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>Ф.И.О.</w:t>
            </w:r>
          </w:p>
          <w:p>
            <w:pPr>
              <w:pStyle w:val="5"/>
              <w:ind w:right="-108"/>
              <w:jc w:val="center"/>
              <w:rPr>
                <w:rFonts w:ascii="Times New Roman" w:hAnsi="Times New Roman" w:eastAsia="MS Mincho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 xml:space="preserve"> руководителя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1337"/>
              </w:tabs>
              <w:jc w:val="center"/>
              <w:rPr>
                <w:rFonts w:ascii="Times New Roman" w:hAnsi="Times New Roman" w:eastAsia="MS Minch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 xml:space="preserve">Должность и место работы </w:t>
            </w:r>
          </w:p>
          <w:p>
            <w:pPr>
              <w:pStyle w:val="5"/>
              <w:tabs>
                <w:tab w:val="left" w:pos="1337"/>
              </w:tabs>
              <w:jc w:val="center"/>
              <w:rPr>
                <w:rFonts w:ascii="Times New Roman" w:hAnsi="Times New Roman" w:eastAsia="MS Mincho"/>
                <w:lang w:val="ru-RU" w:eastAsia="ru-RU"/>
              </w:rPr>
            </w:pPr>
            <w:r>
              <w:rPr>
                <w:rFonts w:ascii="Times New Roman" w:hAnsi="Times New Roman" w:eastAsia="MS Mincho"/>
                <w:lang w:val="ru-RU" w:eastAsia="ru-RU"/>
              </w:rPr>
              <w:t>(без сокращений)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Times New Roman" w:hAnsi="Times New Roman" w:eastAsia="MS Mincho"/>
                <w:sz w:val="20"/>
                <w:szCs w:val="20"/>
                <w:lang w:val="ru-RU" w:eastAsia="ru-RU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MS Mincho"/>
                <w:lang w:val="ru-RU" w:eastAsia="ru-RU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MS Mincho"/>
                <w:lang w:val="ru-RU" w:eastAsia="ru-RU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 w:hAnsi="Times New Roman" w:eastAsia="MS Mincho"/>
                <w:lang w:val="ru-RU" w:eastAsia="ru-RU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 w:hAnsi="Times New Roman" w:eastAsia="MS Mincho"/>
                <w:lang w:val="ru-RU" w:eastAsia="ru-RU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 w:hAnsi="Times New Roman" w:eastAsia="MS Mincho"/>
                <w:lang w:val="ru-RU" w:eastAsia="ru-RU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 w:hAnsi="Times New Roman" w:eastAsia="MS Mincho"/>
                <w:lang w:val="ru-RU" w:eastAsia="ru-RU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 w:hAnsi="Times New Roman" w:eastAsia="MS Mincho"/>
                <w:lang w:val="ru-RU" w:eastAsia="ru-RU"/>
              </w:rPr>
            </w:pP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Times New Roman" w:hAnsi="Times New Roman" w:eastAsia="MS Mincho"/>
                <w:lang w:val="ru-RU" w:eastAsia="ru-RU"/>
              </w:rPr>
            </w:pPr>
          </w:p>
        </w:tc>
      </w:tr>
    </w:tbl>
    <w:p>
      <w:pPr>
        <w:jc w:val="center"/>
      </w:pPr>
    </w:p>
    <w:p>
      <w:pPr>
        <w:rPr>
          <w:sz w:val="24"/>
          <w:szCs w:val="24"/>
        </w:rPr>
      </w:pPr>
    </w:p>
    <w:p>
      <w:r>
        <w:t>Руководитель   ОУ                                                       ________________________</w:t>
      </w:r>
    </w:p>
    <w:p>
      <w:pPr>
        <w:ind w:left="11100" w:hanging="11100" w:hangingChars="555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Расшифровка подписи</w:t>
      </w:r>
    </w:p>
    <w:p>
      <w:pPr>
        <w:ind w:right="3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ind w:right="38"/>
        <w:rPr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  <w:sectPr>
          <w:pgSz w:w="16838" w:h="11906" w:orient="landscape"/>
          <w:pgMar w:top="1701" w:right="1134" w:bottom="850" w:left="1134" w:header="708" w:footer="708" w:gutter="0"/>
          <w:cols w:space="720" w:num="1"/>
          <w:docGrid w:linePitch="381" w:charSpace="0"/>
        </w:sectPr>
      </w:pPr>
    </w:p>
    <w:p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оформлению конкурсных работ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Конкурс принимаются краеведческие исследовательские работы на бумажном носителе объёмом до 10 страниц компьютерного набора (формат А4, шрифт </w:t>
      </w:r>
      <w:r>
        <w:rPr>
          <w:sz w:val="24"/>
          <w:szCs w:val="24"/>
          <w:lang w:val="en-US"/>
        </w:rPr>
        <w:t>Times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>, кегль 14, интервал 1, поля: левое – 3,5 см, правое, верхнее, нижнее – 2 см).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Объём приложений – не более 10 страниц.</w:t>
      </w:r>
      <w:r>
        <w:rPr>
          <w:sz w:val="24"/>
          <w:szCs w:val="24"/>
        </w:rPr>
        <w:t xml:space="preserve">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работы: </w:t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1. Титульный лист</w:t>
      </w:r>
      <w:r>
        <w:rPr>
          <w:sz w:val="24"/>
          <w:szCs w:val="24"/>
        </w:rPr>
        <w:t xml:space="preserve"> с указанием (сверху вниз):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и науки Липецкой области;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название образовательной организации и объединения;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название конкурса, номинация;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тема работы;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имя, отчество (полностью) автора, класс, образовательная организация (адрес), объединение; 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имя и отчество (полностью) педагога-руководителя, должность, место работы, контактные данные; 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 выполнения работы.</w:t>
      </w:r>
    </w:p>
    <w:p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Оглавление.</w:t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3. Введение</w:t>
      </w:r>
      <w:r>
        <w:rPr>
          <w:sz w:val="24"/>
          <w:szCs w:val="24"/>
        </w:rPr>
        <w:t>, где необходимо сформулировать проблематику, цель и задачи работы; обосновать актуальность; провести краткий обзор литературных источников по проблеме исследования; указать место и сроки проведения, дать характеристику района исследования.</w:t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4. Методика исследования</w:t>
      </w:r>
      <w:r>
        <w:rPr>
          <w:sz w:val="24"/>
          <w:szCs w:val="24"/>
        </w:rPr>
        <w:t xml:space="preserve"> (описание методов сбора, первичной и статистической обработки материала).</w:t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5. Результаты исследования и их обсуждение.</w:t>
      </w:r>
      <w:r>
        <w:rPr>
          <w:sz w:val="24"/>
          <w:szCs w:val="24"/>
        </w:rPr>
        <w:t xml:space="preserve"> При необходимости следует использовать таблицы, рисунки, графики и т.п.</w:t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6. Выводы</w:t>
      </w:r>
      <w:r>
        <w:rPr>
          <w:sz w:val="24"/>
          <w:szCs w:val="24"/>
        </w:rPr>
        <w:t xml:space="preserve"> (краткие ответы на вопросы, поставленные в задачах).</w:t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7. Заключение</w:t>
      </w:r>
      <w:r>
        <w:rPr>
          <w:sz w:val="24"/>
          <w:szCs w:val="24"/>
        </w:rPr>
        <w:t xml:space="preserve">, где даются краткие  ответы на вопросы, поставленные в задачах. Здесь могут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исследования. </w:t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Список использованных источников и литературы</w:t>
      </w:r>
      <w:r>
        <w:rPr>
          <w:sz w:val="24"/>
          <w:szCs w:val="24"/>
        </w:rPr>
        <w:t xml:space="preserve">, оформленный в соответствии с правилами составления библиографического списка. В тексте работы должны быть ссылки на источники и литературу. 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9.Фактические и числовые данные</w:t>
      </w:r>
      <w:r>
        <w:rPr>
          <w:sz w:val="24"/>
          <w:szCs w:val="24"/>
        </w:rPr>
        <w:t>, имеющие большой объём, а также рисунки, диаграммы, схемы, карты, фотографии и т.д. могут быть вынесены в приложения. Все приложения должны быть пронумерованы и озаглавлены, а в тексте работы должны быть сделаны ссылки на них.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Нумерация страниц - сквозная. Титульный лист, список источников и литературы, приложения в объем (10 стр.) не входят, но оцениваются.</w:t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Нумерация страниц работ – сквозная, с 1-ой до последней. </w:t>
      </w:r>
      <w:r>
        <w:rPr>
          <w:b/>
          <w:sz w:val="24"/>
          <w:szCs w:val="24"/>
        </w:rPr>
        <w:t>Титульный лист, список источников и литературы, приложения в объём (10 страниц) не входят, но оцениваются.</w:t>
      </w:r>
    </w:p>
    <w:p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>
      <w:pPr>
        <w:ind w:firstLine="709"/>
        <w:jc w:val="right"/>
        <w:rPr>
          <w:b/>
          <w:sz w:val="24"/>
          <w:szCs w:val="24"/>
        </w:rPr>
      </w:pPr>
    </w:p>
    <w:p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Критерии оценки исследовательских работ</w:t>
      </w:r>
      <w:r>
        <w:rPr>
          <w:sz w:val="24"/>
          <w:szCs w:val="24"/>
        </w:rPr>
        <w:t xml:space="preserve"> </w:t>
      </w:r>
    </w:p>
    <w:p>
      <w:pPr>
        <w:ind w:firstLine="709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Заочная оценка домашней работы: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обоснование темы, новизна, краеведческий характер работы – до 3 б.; 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историография, источники, экспериментальные данные – до 4 б.; 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– до 7 б.;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логичность изложения, стиль, грамотность – до 5 баллов;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вклад автора в исследование – до 3 б.;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58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структура работы, название, научно-справочный аппарат – до 4 б.;</w:t>
      </w:r>
    </w:p>
    <w:p>
      <w:pPr>
        <w:pStyle w:val="6"/>
        <w:numPr>
          <w:ilvl w:val="0"/>
          <w:numId w:val="2"/>
        </w:numPr>
        <w:shd w:val="clear" w:color="auto" w:fill="auto"/>
        <w:tabs>
          <w:tab w:val="left" w:pos="540"/>
          <w:tab w:val="left" w:pos="58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работы (титульный лист, библиография, источники, грамотность, соответствие Положению)– до 2 б.</w:t>
      </w:r>
    </w:p>
    <w:p>
      <w:pPr>
        <w:pStyle w:val="6"/>
        <w:shd w:val="clear" w:color="auto" w:fill="auto"/>
        <w:tabs>
          <w:tab w:val="left" w:pos="586"/>
        </w:tabs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Максимальный (итоговый) результат – 30 баллов. </w:t>
      </w:r>
    </w:p>
    <w:p>
      <w:pPr>
        <w:pStyle w:val="6"/>
        <w:shd w:val="clear" w:color="auto" w:fill="auto"/>
        <w:spacing w:line="240" w:lineRule="auto"/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>
      <w:pPr>
        <w:pStyle w:val="6"/>
        <w:shd w:val="clear" w:color="auto" w:fill="auto"/>
        <w:spacing w:line="240" w:lineRule="auto"/>
        <w:ind w:firstLine="709"/>
        <w:contextualSpacing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Защита домашней работы: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58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выступления, авторская точка зрения, логичность, полнота раскрытия темы – до 8 б.;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58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работы, качество выступления – до 10 б.;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58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методы и методики исследования – до 7 б.;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58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наличие собственного опыта, авторская позиция – до 5 б.;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58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наглядности (таблицы, рисунки, фото, презентация) – до 5 б.; 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58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работа на секции (Вопросы, участие в обсуждении и т.п.) – до 3 б.;</w:t>
      </w:r>
    </w:p>
    <w:p>
      <w:pPr>
        <w:pStyle w:val="6"/>
        <w:numPr>
          <w:ilvl w:val="0"/>
          <w:numId w:val="3"/>
        </w:numPr>
        <w:shd w:val="clear" w:color="auto" w:fill="auto"/>
        <w:tabs>
          <w:tab w:val="left" w:pos="58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баллы жюри – до 2 б.</w:t>
      </w:r>
    </w:p>
    <w:p>
      <w:pPr>
        <w:pStyle w:val="6"/>
        <w:shd w:val="clear" w:color="auto" w:fill="auto"/>
        <w:tabs>
          <w:tab w:val="left" w:pos="581"/>
        </w:tabs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Максимальный (итоговый) результат – 40 баллов. </w:t>
      </w:r>
    </w:p>
    <w:p>
      <w:pPr>
        <w:ind w:firstLine="709"/>
        <w:rPr>
          <w:sz w:val="24"/>
          <w:szCs w:val="24"/>
        </w:rPr>
      </w:pPr>
    </w:p>
    <w:p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  Критерии  оценки  социально  значимых  проектов  (для   номинации  «Во  благо Отечества»)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 актуальность избранной проблемы, её социальная значимость и осознанность выбора -до 5б.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 соответствие содержания разработанного проекта тематике  номинации- до 5 б.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 достоверность сведений о разработке и реализации проекта -до 10 б.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 обоснованность участия социальных партнёров и определение их функций в реализации проекта (при наличии) – до 10 б.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 результативность проекта – до 10 б.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 наличие и потенциальная эффективность стратегии развития проекта компетенции – до 10 б.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 коммуникации, принятия решений и навыков командной работы  – до 10 б.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 информационное сопровождение реализации проекта в соцсетях, СМИ и др. – до 10 б.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-   качество презентации и публичной защиты проекта – до 10 б.</w:t>
      </w:r>
    </w:p>
    <w:p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Максимальный (итоговый) результат   - 80 б. 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sz w:val="24"/>
          <w:szCs w:val="24"/>
        </w:rPr>
      </w:pPr>
    </w:p>
    <w:p/>
    <w:p>
      <w:pPr>
        <w:rPr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20" w:num="1"/>
          <w:docGrid w:linePitch="381" w:charSpace="0"/>
        </w:sectPr>
      </w:pPr>
    </w:p>
    <w:p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  <w:sectPr>
          <w:pgSz w:w="16838" w:h="11906" w:orient="landscape"/>
          <w:pgMar w:top="1701" w:right="1134" w:bottom="850" w:left="1134" w:header="708" w:footer="708" w:gutter="0"/>
          <w:cols w:space="720" w:num="1"/>
          <w:docGrid w:linePitch="360" w:charSpace="0"/>
        </w:sectPr>
      </w:pPr>
      <w:bookmarkStart w:id="0" w:name="_GoBack"/>
      <w:bookmarkEnd w:id="0"/>
    </w:p>
    <w:p>
      <w:pPr>
        <w:rPr>
          <w:sz w:val="24"/>
          <w:szCs w:val="24"/>
        </w:rPr>
        <w:sectPr>
          <w:pgSz w:w="16838" w:h="11906" w:orient="landscape"/>
          <w:pgMar w:top="1701" w:right="1134" w:bottom="850" w:left="1134" w:header="708" w:footer="708" w:gutter="0"/>
          <w:cols w:space="720" w:num="1"/>
          <w:docGrid w:linePitch="381" w:charSpace="0"/>
        </w:sectPr>
      </w:pPr>
    </w:p>
    <w:p>
      <w:pPr>
        <w:jc w:val="both"/>
        <w:rPr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97360"/>
    <w:multiLevelType w:val="multilevel"/>
    <w:tmpl w:val="06397360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D1B7DD4"/>
    <w:multiLevelType w:val="multilevel"/>
    <w:tmpl w:val="3D1B7DD4"/>
    <w:lvl w:ilvl="0" w:tentative="0">
      <w:start w:val="2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2" w:tentative="0">
      <w:start w:val="1"/>
      <w:numFmt w:val="decimal"/>
      <w:lvlText w:val="%3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3" w:tentative="0">
      <w:start w:val="1"/>
      <w:numFmt w:val="decimal"/>
      <w:lvlText w:val="%4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4" w:tentative="0">
      <w:start w:val="1"/>
      <w:numFmt w:val="decimal"/>
      <w:lvlText w:val="%5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2">
    <w:nsid w:val="58991BBC"/>
    <w:multiLevelType w:val="multilevel"/>
    <w:tmpl w:val="58991BBC"/>
    <w:lvl w:ilvl="0" w:tentative="0">
      <w:start w:val="1"/>
      <w:numFmt w:val="upperRoman"/>
      <w:pStyle w:val="2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3105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3825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4545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5265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5985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6705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7425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8145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11C43"/>
    <w:rsid w:val="122B77FB"/>
    <w:rsid w:val="162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spacing w:after="14" w:line="268" w:lineRule="auto"/>
      <w:ind w:left="10" w:right="6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nhideWhenUsed/>
    <w:qFormat/>
    <w:uiPriority w:val="0"/>
    <w:rPr>
      <w:rFonts w:ascii="Courier New" w:hAnsi="Courier New" w:eastAsia="Calibri" w:cs="Courier New"/>
      <w:sz w:val="22"/>
      <w:szCs w:val="22"/>
    </w:rPr>
  </w:style>
  <w:style w:type="paragraph" w:customStyle="1" w:styleId="6">
    <w:name w:val="Основной текст3"/>
    <w:basedOn w:val="1"/>
    <w:qFormat/>
    <w:uiPriority w:val="0"/>
    <w:pPr>
      <w:shd w:val="clear" w:color="auto" w:fill="FFFFFF"/>
      <w:spacing w:line="322" w:lineRule="exact"/>
      <w:ind w:hanging="660"/>
    </w:pPr>
    <w:rPr>
      <w:color w:val="000000"/>
    </w:rPr>
  </w:style>
  <w:style w:type="character" w:customStyle="1" w:styleId="7">
    <w:name w:val="Основной текст + Полужирный;Курсив"/>
    <w:uiPriority w:val="0"/>
    <w:rPr>
      <w:rFonts w:ascii="Times New Roman" w:hAnsi="Times New Roman" w:eastAsia="Times New Roman" w:cs="Times New Roman"/>
      <w:b/>
      <w:bCs/>
      <w:i/>
      <w:iCs/>
      <w:spacing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2021-09-27T07:50:00Z</dcterms:created>
  <dc:creator>crtdu48</dc:creator>
  <cp:lastModifiedBy>crtdu48</cp:lastModifiedBy>
  <cp:lastPrinted>2021-09-27T11:35:09Z</cp:lastPrinted>
  <dcterms:modified xsi:type="dcterms:W3CDTF">2021-09-27T11:39:57Z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9D5C8DBF57DC4379AF09D913B7B8EB5D</vt:lpwstr>
  </property>
</Properties>
</file>